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Huddinge kommunfullmäktige</w:t>
      </w:r>
    </w:p>
    <w:p>
      <w:pPr>
        <w:pStyle w:val="Heading1"/>
      </w:pPr>
      <w:r>
        <w:t xml:space="preserve">Stärk tidig läsinlärning med fler speciallärare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Huddinge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Var fjärde elev i årskurs 3 når inte godkänt i läsförståelse (Skolverket 2023). Tidiga insatser är avgörande för att bryta utanförskap. Huddinge behöver fler speciallärare i lågstadiet.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Huddinge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minst 12 nya speciallärare med inriktning på läs- och skrivutveckling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skolor ska erbjuda intensivlästräning från årskurs 1 för elever som riskerar att hamna efter.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läslyftsplan tas fram i samverkan med Specialpedagogiska skolmyndigheten.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årligen i utbildningsnämnden med Kolada-jämförelser.</w:t>
      </w:r>
    </w:p>
    <w:p>
      <w:pPr>
        <w:spacing w:before="360"/>
      </w:pPr>
    </w:p>
    <w:p>
      <w:r>
        <w:t xml:space="preserve">Huddinge,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Huddinge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2026-07-14T03:28:05.813Z</dcterms:created>
  <dcterms:modified xsi:type="dcterms:W3CDTF">2026-07-14T03:28:05.813Z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